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3B7F" w:rsidRDefault="000A26AF" w:rsidP="00EC3B7F">
      <w:pPr>
        <w:pStyle w:val="Heading1"/>
      </w:pPr>
      <w:r>
        <w:rPr>
          <w:noProof/>
        </w:rPr>
        <w:pict>
          <v:shapetype id="_x0000_t202" coordsize="21600,21600" o:spt="202" path="m,l,21600r21600,l21600,xe">
            <v:stroke joinstyle="miter"/>
            <v:path gradientshapeok="t" o:connecttype="rect"/>
          </v:shapetype>
          <v:shape id="_x0000_s1026" type="#_x0000_t202" style="position:absolute;left:0;text-align:left;margin-left:302.25pt;margin-top:15pt;width:187.5pt;height:99.75pt;z-index:251658240" stroked="f">
            <v:textbox>
              <w:txbxContent>
                <w:p w:rsidR="00EC3B7F" w:rsidRPr="00EC3B7F" w:rsidRDefault="00EC3B7F" w:rsidP="00EC3B7F">
                  <w:pPr>
                    <w:jc w:val="center"/>
                    <w:rPr>
                      <w:b/>
                      <w:sz w:val="28"/>
                      <w:szCs w:val="28"/>
                    </w:rPr>
                  </w:pPr>
                  <w:r w:rsidRPr="00EC3B7F">
                    <w:rPr>
                      <w:b/>
                      <w:sz w:val="28"/>
                      <w:szCs w:val="28"/>
                    </w:rPr>
                    <w:t>Stephen F. Burton</w:t>
                  </w:r>
                </w:p>
                <w:p w:rsidR="00EC3B7F" w:rsidRPr="00EC3B7F" w:rsidRDefault="00EC3B7F" w:rsidP="00EC3B7F">
                  <w:pPr>
                    <w:jc w:val="center"/>
                    <w:rPr>
                      <w:b/>
                    </w:rPr>
                  </w:pPr>
                  <w:r w:rsidRPr="00EC3B7F">
                    <w:rPr>
                      <w:b/>
                    </w:rPr>
                    <w:t xml:space="preserve">Assoc. Broker/Lead </w:t>
                  </w:r>
                  <w:proofErr w:type="spellStart"/>
                  <w:r w:rsidRPr="00EC3B7F">
                    <w:rPr>
                      <w:b/>
                    </w:rPr>
                    <w:t>Auctioneeer</w:t>
                  </w:r>
                  <w:proofErr w:type="spellEnd"/>
                </w:p>
                <w:p w:rsidR="00EC3B7F" w:rsidRPr="00EC3B7F" w:rsidRDefault="00EC3B7F" w:rsidP="00EC3B7F">
                  <w:pPr>
                    <w:jc w:val="center"/>
                    <w:rPr>
                      <w:b/>
                      <w:sz w:val="28"/>
                      <w:szCs w:val="28"/>
                    </w:rPr>
                  </w:pPr>
                  <w:r w:rsidRPr="00EC3B7F">
                    <w:rPr>
                      <w:b/>
                      <w:sz w:val="28"/>
                      <w:szCs w:val="28"/>
                    </w:rPr>
                    <w:t>800-448-2074</w:t>
                  </w:r>
                </w:p>
                <w:p w:rsidR="00EC3B7F" w:rsidRPr="00EC3B7F" w:rsidRDefault="00EC3B7F" w:rsidP="00EC3B7F">
                  <w:pPr>
                    <w:jc w:val="center"/>
                    <w:rPr>
                      <w:b/>
                      <w:sz w:val="28"/>
                      <w:szCs w:val="28"/>
                    </w:rPr>
                  </w:pPr>
                  <w:r w:rsidRPr="00EC3B7F">
                    <w:rPr>
                      <w:b/>
                      <w:sz w:val="28"/>
                      <w:szCs w:val="28"/>
                    </w:rPr>
                    <w:t>229-263-2680</w:t>
                  </w:r>
                </w:p>
              </w:txbxContent>
            </v:textbox>
          </v:shape>
        </w:pict>
      </w:r>
    </w:p>
    <w:p w:rsidR="00EC3B7F" w:rsidRDefault="00EC3B7F" w:rsidP="00DC5863">
      <w:pPr>
        <w:pStyle w:val="Heading1"/>
        <w:jc w:val="left"/>
      </w:pPr>
      <w:r>
        <w:rPr>
          <w:noProof/>
        </w:rPr>
        <w:drawing>
          <wp:inline distT="0" distB="0" distL="0" distR="0">
            <wp:extent cx="2667929" cy="1028700"/>
            <wp:effectExtent l="19050" t="0" r="0" b="0"/>
            <wp:docPr id="1" name="Picture 0" descr="FL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 SMall.jpg"/>
                    <pic:cNvPicPr/>
                  </pic:nvPicPr>
                  <pic:blipFill>
                    <a:blip r:embed="rId4" cstate="print"/>
                    <a:stretch>
                      <a:fillRect/>
                    </a:stretch>
                  </pic:blipFill>
                  <pic:spPr>
                    <a:xfrm>
                      <a:off x="0" y="0"/>
                      <a:ext cx="2667929" cy="1028700"/>
                    </a:xfrm>
                    <a:prstGeom prst="rect">
                      <a:avLst/>
                    </a:prstGeom>
                  </pic:spPr>
                </pic:pic>
              </a:graphicData>
            </a:graphic>
          </wp:inline>
        </w:drawing>
      </w:r>
    </w:p>
    <w:p w:rsidR="00EC3B7F" w:rsidRDefault="00EC3B7F" w:rsidP="00EC3B7F">
      <w:pPr>
        <w:pStyle w:val="Heading1"/>
      </w:pPr>
      <w:r>
        <w:t>Terms Governing Broker Participation</w:t>
      </w:r>
    </w:p>
    <w:p w:rsidR="00EC3B7F" w:rsidRDefault="00EC3B7F" w:rsidP="00EC3B7F">
      <w:r>
        <w:t> </w:t>
      </w:r>
    </w:p>
    <w:p w:rsidR="00EC3B7F" w:rsidRDefault="00EC3B7F" w:rsidP="00EC3B7F">
      <w:pPr>
        <w:rPr>
          <w:b/>
          <w:u w:val="single"/>
        </w:rPr>
      </w:pPr>
      <w:proofErr w:type="gramStart"/>
      <w:r>
        <w:t xml:space="preserve">Registered For Property (Address):  </w:t>
      </w:r>
      <w:r>
        <w:rPr>
          <w:b/>
          <w:u w:val="single"/>
        </w:rPr>
        <w:t xml:space="preserve"> </w:t>
      </w:r>
      <w:r w:rsidR="00DC5863">
        <w:rPr>
          <w:b/>
          <w:u w:val="single"/>
        </w:rPr>
        <w:t xml:space="preserve">Properties presently owned by The </w:t>
      </w:r>
      <w:proofErr w:type="spellStart"/>
      <w:r w:rsidR="00DC5863">
        <w:rPr>
          <w:b/>
          <w:u w:val="single"/>
        </w:rPr>
        <w:t>McGehee</w:t>
      </w:r>
      <w:proofErr w:type="spellEnd"/>
      <w:r w:rsidR="00DC5863">
        <w:rPr>
          <w:b/>
          <w:u w:val="single"/>
        </w:rPr>
        <w:t xml:space="preserve"> Corp.</w:t>
      </w:r>
      <w:proofErr w:type="gramEnd"/>
    </w:p>
    <w:p w:rsidR="00DC5863" w:rsidRPr="00D47930" w:rsidRDefault="00DC5863" w:rsidP="00EC3B7F">
      <w:pPr>
        <w:rPr>
          <w:b/>
          <w:u w:val="single"/>
        </w:rPr>
      </w:pPr>
      <w:r>
        <w:rPr>
          <w:b/>
          <w:u w:val="single"/>
        </w:rPr>
        <w:t>Marion County, FL Tax PIN: 17369-009-00 &amp; 17369-017-00</w:t>
      </w:r>
    </w:p>
    <w:p w:rsidR="00EC3B7F" w:rsidRDefault="00EC3B7F" w:rsidP="00EC3B7F"/>
    <w:p w:rsidR="00EC3B7F" w:rsidRDefault="00EC3B7F" w:rsidP="00EC3B7F">
      <w:pPr>
        <w:rPr>
          <w:b/>
          <w:u w:val="single"/>
        </w:rPr>
      </w:pPr>
      <w:r>
        <w:t xml:space="preserve">Date(s) Registration in effect (date of Auction):  </w:t>
      </w:r>
      <w:r w:rsidR="00DC5863">
        <w:rPr>
          <w:b/>
          <w:u w:val="single"/>
        </w:rPr>
        <w:t>Saturday, Aug 5th</w:t>
      </w:r>
      <w:r>
        <w:rPr>
          <w:b/>
          <w:u w:val="single"/>
        </w:rPr>
        <w:t>, 2017</w:t>
      </w:r>
    </w:p>
    <w:p w:rsidR="00EC3B7F" w:rsidRPr="00D47930" w:rsidRDefault="00EC3B7F" w:rsidP="00EC3B7F">
      <w:pPr>
        <w:rPr>
          <w:b/>
          <w:sz w:val="22"/>
          <w:u w:val="single"/>
        </w:rPr>
      </w:pPr>
    </w:p>
    <w:p w:rsidR="00EC3B7F" w:rsidRDefault="00EC3B7F" w:rsidP="00EC3B7F">
      <w:pPr>
        <w:pStyle w:val="BodyText"/>
        <w:rPr>
          <w:sz w:val="22"/>
        </w:rPr>
      </w:pPr>
      <w:r>
        <w:rPr>
          <w:sz w:val="22"/>
        </w:rPr>
        <w:t xml:space="preserve">A commission </w:t>
      </w:r>
      <w:proofErr w:type="gramStart"/>
      <w:r>
        <w:rPr>
          <w:sz w:val="22"/>
        </w:rPr>
        <w:t xml:space="preserve">of  </w:t>
      </w:r>
      <w:r w:rsidRPr="0014742E">
        <w:rPr>
          <w:b/>
          <w:sz w:val="22"/>
          <w:highlight w:val="yellow"/>
          <w:u w:val="single"/>
        </w:rPr>
        <w:t>20</w:t>
      </w:r>
      <w:proofErr w:type="gramEnd"/>
      <w:r w:rsidRPr="0014742E">
        <w:rPr>
          <w:b/>
          <w:sz w:val="22"/>
          <w:highlight w:val="yellow"/>
          <w:u w:val="single"/>
        </w:rPr>
        <w:t>% of the Net Commission</w:t>
      </w:r>
      <w:r>
        <w:rPr>
          <w:sz w:val="22"/>
        </w:rPr>
        <w:t xml:space="preserve"> will be paid by the Auctioneers to the licensed Real Estate Broker who pre-registers a prospect and subsequently closes on the property.  Brokers must pre-register their prospects at least 48 hour(s) prior to the start of the auction.</w:t>
      </w:r>
    </w:p>
    <w:p w:rsidR="00EC3B7F" w:rsidRDefault="00EC3B7F" w:rsidP="00EC3B7F">
      <w:pPr>
        <w:jc w:val="both"/>
        <w:rPr>
          <w:sz w:val="22"/>
        </w:rPr>
      </w:pPr>
      <w:r>
        <w:rPr>
          <w:sz w:val="22"/>
        </w:rPr>
        <w:t> </w:t>
      </w:r>
    </w:p>
    <w:p w:rsidR="00EC3B7F" w:rsidRDefault="00EC3B7F" w:rsidP="00EC3B7F">
      <w:pPr>
        <w:jc w:val="both"/>
        <w:rPr>
          <w:sz w:val="22"/>
        </w:rPr>
      </w:pPr>
      <w:r>
        <w:rPr>
          <w:sz w:val="22"/>
        </w:rPr>
        <w:t xml:space="preserve">The Licensed Real Estate Broker must pre-register with the auctioneer in advance and give evidence of current license and date of expiration of license.  All registrations will be acknowledged by return </w:t>
      </w:r>
      <w:r w:rsidR="00DC5863">
        <w:rPr>
          <w:sz w:val="22"/>
        </w:rPr>
        <w:t>e</w:t>
      </w:r>
      <w:r>
        <w:rPr>
          <w:sz w:val="22"/>
        </w:rPr>
        <w:t xml:space="preserve">mail, or fax. </w:t>
      </w:r>
    </w:p>
    <w:p w:rsidR="00EC3B7F" w:rsidRDefault="00EC3B7F" w:rsidP="00EC3B7F">
      <w:pPr>
        <w:jc w:val="both"/>
        <w:rPr>
          <w:sz w:val="22"/>
        </w:rPr>
      </w:pPr>
      <w:r>
        <w:rPr>
          <w:sz w:val="22"/>
        </w:rPr>
        <w:t> </w:t>
      </w:r>
    </w:p>
    <w:p w:rsidR="00EC3B7F" w:rsidRDefault="00EC3B7F" w:rsidP="00EC3B7F">
      <w:pPr>
        <w:jc w:val="both"/>
        <w:rPr>
          <w:sz w:val="22"/>
        </w:rPr>
      </w:pPr>
      <w:r>
        <w:rPr>
          <w:sz w:val="22"/>
        </w:rPr>
        <w:t>The Licensed Real Estate Broker must attend the public auction with the prospect and bid with or for the prospect.  No Broker will be recognized on a prospect that has already been in contact with the auctioneers or their representatives.</w:t>
      </w:r>
    </w:p>
    <w:p w:rsidR="00EC3B7F" w:rsidRDefault="00EC3B7F" w:rsidP="00EC3B7F">
      <w:pPr>
        <w:jc w:val="both"/>
        <w:rPr>
          <w:sz w:val="22"/>
        </w:rPr>
      </w:pPr>
      <w:r>
        <w:rPr>
          <w:sz w:val="22"/>
        </w:rPr>
        <w:t> </w:t>
      </w:r>
    </w:p>
    <w:p w:rsidR="00EC3B7F" w:rsidRDefault="00EC3B7F" w:rsidP="00EC3B7F">
      <w:pPr>
        <w:jc w:val="both"/>
        <w:rPr>
          <w:sz w:val="22"/>
        </w:rPr>
      </w:pPr>
      <w:r>
        <w:rPr>
          <w:sz w:val="22"/>
        </w:rPr>
        <w:t>No Commission will be paid by the auctioneer to any Broker participating in the purchase of the property and an affidavit will be required that the Broker is serving as Broker only and not as a principal.  Commission will be paid immediately following closing.  Commissions are paid on Real Estate ONLY and not on accompanying personal property (if any)</w:t>
      </w:r>
    </w:p>
    <w:p w:rsidR="00EC3B7F" w:rsidRDefault="00EC3B7F" w:rsidP="00EC3B7F">
      <w:pPr>
        <w:jc w:val="both"/>
        <w:rPr>
          <w:sz w:val="22"/>
        </w:rPr>
      </w:pPr>
      <w:r>
        <w:rPr>
          <w:sz w:val="22"/>
        </w:rPr>
        <w:t> </w:t>
      </w:r>
    </w:p>
    <w:p w:rsidR="00EC3B7F" w:rsidRDefault="00EC3B7F" w:rsidP="00EC3B7F">
      <w:pPr>
        <w:jc w:val="both"/>
        <w:rPr>
          <w:sz w:val="22"/>
        </w:rPr>
      </w:pPr>
      <w:r>
        <w:rPr>
          <w:sz w:val="22"/>
        </w:rPr>
        <w:t>There can be no exceptions to this procedure and no oral registrations will be accepted. </w:t>
      </w:r>
    </w:p>
    <w:p w:rsidR="00EC3B7F" w:rsidRDefault="00EC3B7F" w:rsidP="00EC3B7F">
      <w:pPr>
        <w:jc w:val="both"/>
        <w:rPr>
          <w:sz w:val="22"/>
        </w:rPr>
      </w:pPr>
      <w:r>
        <w:rPr>
          <w:sz w:val="22"/>
        </w:rPr>
        <w:t>The below Licensed Real Estate Broker is registering the following name(s) for the above referenced auction:</w:t>
      </w:r>
    </w:p>
    <w:p w:rsidR="00EC3B7F" w:rsidRDefault="00EC3B7F" w:rsidP="00EC3B7F">
      <w:pPr>
        <w:jc w:val="both"/>
        <w:rPr>
          <w:sz w:val="22"/>
        </w:rPr>
      </w:pPr>
      <w:r>
        <w:rPr>
          <w:sz w:val="22"/>
        </w:rPr>
        <w:t> </w:t>
      </w:r>
    </w:p>
    <w:p w:rsidR="0014742E" w:rsidRDefault="0014742E" w:rsidP="0014742E">
      <w:pPr>
        <w:jc w:val="both"/>
        <w:rPr>
          <w:sz w:val="22"/>
        </w:rPr>
      </w:pPr>
      <w:r w:rsidRPr="00D3642E">
        <w:rPr>
          <w:sz w:val="18"/>
          <w:szCs w:val="18"/>
        </w:rPr>
        <w:t>(Print Name)</w:t>
      </w:r>
      <w:r>
        <w:rPr>
          <w:sz w:val="22"/>
        </w:rPr>
        <w:t xml:space="preserve">_____________________________ </w:t>
      </w:r>
      <w:r w:rsidRPr="00D3642E">
        <w:rPr>
          <w:sz w:val="18"/>
          <w:szCs w:val="18"/>
        </w:rPr>
        <w:t>Buyer’s Signature</w:t>
      </w:r>
      <w:r>
        <w:rPr>
          <w:sz w:val="22"/>
        </w:rPr>
        <w:t xml:space="preserve"> _________________________</w:t>
      </w:r>
      <w:r>
        <w:rPr>
          <w:sz w:val="22"/>
        </w:rPr>
        <w:softHyphen/>
      </w:r>
      <w:r>
        <w:rPr>
          <w:sz w:val="22"/>
        </w:rPr>
        <w:softHyphen/>
      </w:r>
      <w:r>
        <w:rPr>
          <w:sz w:val="22"/>
        </w:rPr>
        <w:softHyphen/>
        <w:t>________</w:t>
      </w:r>
    </w:p>
    <w:p w:rsidR="0014742E" w:rsidRDefault="0014742E" w:rsidP="0014742E">
      <w:pPr>
        <w:tabs>
          <w:tab w:val="left" w:pos="1125"/>
        </w:tabs>
        <w:jc w:val="both"/>
        <w:rPr>
          <w:sz w:val="22"/>
        </w:rPr>
      </w:pPr>
    </w:p>
    <w:p w:rsidR="0014742E" w:rsidRDefault="0014742E" w:rsidP="0014742E">
      <w:pPr>
        <w:jc w:val="both"/>
        <w:rPr>
          <w:sz w:val="22"/>
        </w:rPr>
      </w:pPr>
      <w:r w:rsidRPr="00D3642E">
        <w:rPr>
          <w:sz w:val="18"/>
          <w:szCs w:val="18"/>
        </w:rPr>
        <w:t>(Print Name)</w:t>
      </w:r>
      <w:r>
        <w:rPr>
          <w:sz w:val="22"/>
        </w:rPr>
        <w:t xml:space="preserve">_____________________________ </w:t>
      </w:r>
      <w:r w:rsidRPr="00D3642E">
        <w:rPr>
          <w:sz w:val="18"/>
          <w:szCs w:val="18"/>
        </w:rPr>
        <w:t>Buyer’s Signature</w:t>
      </w:r>
      <w:r>
        <w:rPr>
          <w:sz w:val="22"/>
        </w:rPr>
        <w:t xml:space="preserve"> ________________________________</w:t>
      </w:r>
    </w:p>
    <w:p w:rsidR="0014742E" w:rsidRDefault="0014742E" w:rsidP="0014742E">
      <w:pPr>
        <w:tabs>
          <w:tab w:val="left" w:pos="1125"/>
        </w:tabs>
        <w:jc w:val="both"/>
        <w:rPr>
          <w:sz w:val="22"/>
        </w:rPr>
      </w:pPr>
    </w:p>
    <w:p w:rsidR="0014742E" w:rsidRDefault="0014742E" w:rsidP="0014742E">
      <w:pPr>
        <w:jc w:val="both"/>
        <w:rPr>
          <w:sz w:val="22"/>
        </w:rPr>
      </w:pPr>
      <w:r>
        <w:rPr>
          <w:sz w:val="22"/>
        </w:rPr>
        <w:t>I have read the above terms and conditions governing Broker Participation regarding Real Estate at public auction and agree to be governed by them.</w:t>
      </w:r>
    </w:p>
    <w:p w:rsidR="0014742E" w:rsidRDefault="0014742E" w:rsidP="0014742E">
      <w:pPr>
        <w:jc w:val="both"/>
        <w:rPr>
          <w:sz w:val="22"/>
        </w:rPr>
      </w:pPr>
      <w:r>
        <w:rPr>
          <w:sz w:val="22"/>
        </w:rPr>
        <w:t> </w:t>
      </w:r>
    </w:p>
    <w:p w:rsidR="0014742E" w:rsidRDefault="0014742E" w:rsidP="0014742E">
      <w:pPr>
        <w:rPr>
          <w:sz w:val="22"/>
        </w:rPr>
      </w:pPr>
      <w:r>
        <w:rPr>
          <w:sz w:val="22"/>
        </w:rPr>
        <w:t>Broker’s Signature____________________________________________________________________</w:t>
      </w:r>
    </w:p>
    <w:p w:rsidR="0014742E" w:rsidRDefault="0014742E" w:rsidP="0014742E">
      <w:pPr>
        <w:rPr>
          <w:sz w:val="22"/>
        </w:rPr>
      </w:pPr>
    </w:p>
    <w:p w:rsidR="0014742E" w:rsidRDefault="0014742E" w:rsidP="0014742E">
      <w:pPr>
        <w:jc w:val="both"/>
        <w:rPr>
          <w:sz w:val="22"/>
        </w:rPr>
      </w:pPr>
      <w:r>
        <w:rPr>
          <w:sz w:val="22"/>
        </w:rPr>
        <w:t>Phone_______________________________________</w:t>
      </w:r>
      <w:proofErr w:type="gramStart"/>
      <w:r>
        <w:rPr>
          <w:sz w:val="22"/>
        </w:rPr>
        <w:t>_  FL</w:t>
      </w:r>
      <w:proofErr w:type="gramEnd"/>
      <w:r>
        <w:rPr>
          <w:sz w:val="22"/>
        </w:rPr>
        <w:t xml:space="preserve"> RE Firm  </w:t>
      </w:r>
      <w:proofErr w:type="spellStart"/>
      <w:r>
        <w:rPr>
          <w:sz w:val="22"/>
        </w:rPr>
        <w:t>Lic</w:t>
      </w:r>
      <w:proofErr w:type="spellEnd"/>
      <w:r>
        <w:rPr>
          <w:sz w:val="22"/>
        </w:rPr>
        <w:t xml:space="preserve"> No. __________________</w:t>
      </w:r>
    </w:p>
    <w:p w:rsidR="0014742E" w:rsidRDefault="0014742E" w:rsidP="0014742E">
      <w:pPr>
        <w:rPr>
          <w:sz w:val="22"/>
        </w:rPr>
      </w:pPr>
    </w:p>
    <w:p w:rsidR="0014742E" w:rsidRDefault="0014742E" w:rsidP="0014742E">
      <w:pPr>
        <w:rPr>
          <w:sz w:val="22"/>
        </w:rPr>
      </w:pPr>
    </w:p>
    <w:p w:rsidR="0014742E" w:rsidRDefault="0014742E" w:rsidP="0014742E">
      <w:pPr>
        <w:rPr>
          <w:sz w:val="22"/>
        </w:rPr>
      </w:pPr>
      <w:r>
        <w:rPr>
          <w:sz w:val="22"/>
        </w:rPr>
        <w:t xml:space="preserve">Sales Agent’s Name (If any) ________________________________ RE </w:t>
      </w:r>
      <w:proofErr w:type="spellStart"/>
      <w:r>
        <w:rPr>
          <w:sz w:val="22"/>
        </w:rPr>
        <w:t>Lic</w:t>
      </w:r>
      <w:proofErr w:type="spellEnd"/>
      <w:r>
        <w:rPr>
          <w:sz w:val="22"/>
        </w:rPr>
        <w:t xml:space="preserve"> #: ____________________</w:t>
      </w:r>
    </w:p>
    <w:p w:rsidR="0014742E" w:rsidRDefault="0014742E" w:rsidP="0014742E">
      <w:pPr>
        <w:jc w:val="both"/>
        <w:rPr>
          <w:sz w:val="22"/>
        </w:rPr>
      </w:pPr>
    </w:p>
    <w:p w:rsidR="0014742E" w:rsidRDefault="0014742E" w:rsidP="0014742E">
      <w:pPr>
        <w:jc w:val="both"/>
        <w:rPr>
          <w:sz w:val="22"/>
        </w:rPr>
      </w:pPr>
      <w:r>
        <w:rPr>
          <w:sz w:val="22"/>
        </w:rPr>
        <w:t>********************************************************************************</w:t>
      </w:r>
    </w:p>
    <w:p w:rsidR="0014742E" w:rsidRDefault="0014742E" w:rsidP="0014742E">
      <w:pPr>
        <w:jc w:val="both"/>
        <w:rPr>
          <w:sz w:val="22"/>
        </w:rPr>
      </w:pPr>
      <w:r>
        <w:rPr>
          <w:sz w:val="22"/>
        </w:rPr>
        <w:t> </w:t>
      </w:r>
    </w:p>
    <w:p w:rsidR="0014742E" w:rsidRDefault="0014742E" w:rsidP="0014742E">
      <w:pPr>
        <w:rPr>
          <w:sz w:val="22"/>
        </w:rPr>
      </w:pPr>
      <w:r>
        <w:rPr>
          <w:sz w:val="22"/>
        </w:rPr>
        <w:t xml:space="preserve">Accepted by </w:t>
      </w:r>
      <w:proofErr w:type="spellStart"/>
      <w:r>
        <w:rPr>
          <w:sz w:val="22"/>
        </w:rPr>
        <w:t>Auctioneer</w:t>
      </w:r>
      <w:proofErr w:type="gramStart"/>
      <w:r>
        <w:rPr>
          <w:sz w:val="22"/>
        </w:rPr>
        <w:t>:_</w:t>
      </w:r>
      <w:proofErr w:type="gramEnd"/>
      <w:r>
        <w:rPr>
          <w:sz w:val="22"/>
        </w:rPr>
        <w:t>_______________________Lic</w:t>
      </w:r>
      <w:proofErr w:type="spellEnd"/>
      <w:r>
        <w:rPr>
          <w:sz w:val="22"/>
        </w:rPr>
        <w:t xml:space="preserve"> # : __________________Date_____________</w:t>
      </w:r>
    </w:p>
    <w:p w:rsidR="0014742E" w:rsidRDefault="0014742E" w:rsidP="0014742E">
      <w:pPr>
        <w:jc w:val="both"/>
        <w:rPr>
          <w:sz w:val="22"/>
        </w:rPr>
      </w:pPr>
      <w:r>
        <w:rPr>
          <w:sz w:val="22"/>
        </w:rPr>
        <w:t> </w:t>
      </w:r>
    </w:p>
    <w:p w:rsidR="00EC3B7F" w:rsidRDefault="0014742E" w:rsidP="00762890">
      <w:pPr>
        <w:jc w:val="center"/>
      </w:pPr>
      <w:r w:rsidRPr="006C2C12">
        <w:rPr>
          <w:sz w:val="22"/>
          <w:highlight w:val="yellow"/>
        </w:rPr>
        <w:t>(</w:t>
      </w:r>
      <w:r w:rsidRPr="006C2C12">
        <w:rPr>
          <w:b/>
          <w:sz w:val="22"/>
          <w:highlight w:val="yellow"/>
        </w:rPr>
        <w:t>This agreement is not binding until signed by the auctioneer</w:t>
      </w:r>
      <w:r>
        <w:rPr>
          <w:b/>
          <w:sz w:val="22"/>
        </w:rPr>
        <w:t>)</w:t>
      </w:r>
    </w:p>
    <w:sectPr w:rsidR="00EC3B7F" w:rsidSect="00394CE2">
      <w:pgSz w:w="12240" w:h="15840"/>
      <w:pgMar w:top="720" w:right="144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C3B7F"/>
    <w:rsid w:val="000A26AF"/>
    <w:rsid w:val="001469BA"/>
    <w:rsid w:val="0014742E"/>
    <w:rsid w:val="001D4BB4"/>
    <w:rsid w:val="001F1CEF"/>
    <w:rsid w:val="002A1E0F"/>
    <w:rsid w:val="003A46E5"/>
    <w:rsid w:val="006B0080"/>
    <w:rsid w:val="00762890"/>
    <w:rsid w:val="00960453"/>
    <w:rsid w:val="00DB2EC6"/>
    <w:rsid w:val="00DC5863"/>
    <w:rsid w:val="00DC70C6"/>
    <w:rsid w:val="00E510CA"/>
    <w:rsid w:val="00EC3B7F"/>
    <w:rsid w:val="00FE714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4"/>
        <w:szCs w:val="24"/>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3B7F"/>
    <w:pPr>
      <w:spacing w:line="240" w:lineRule="auto"/>
    </w:pPr>
    <w:rPr>
      <w:rFonts w:ascii="Times New Roman" w:eastAsia="Times New Roman" w:hAnsi="Times New Roman" w:cs="Times New Roman"/>
    </w:rPr>
  </w:style>
  <w:style w:type="paragraph" w:styleId="Heading1">
    <w:name w:val="heading 1"/>
    <w:basedOn w:val="Normal"/>
    <w:next w:val="Normal"/>
    <w:link w:val="Heading1Char"/>
    <w:qFormat/>
    <w:rsid w:val="00EC3B7F"/>
    <w:pPr>
      <w:keepNext/>
      <w:jc w:val="center"/>
      <w:outlineLvl w:val="0"/>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C3B7F"/>
    <w:rPr>
      <w:rFonts w:ascii="Times New Roman" w:eastAsia="Times New Roman" w:hAnsi="Times New Roman" w:cs="Times New Roman"/>
      <w:b/>
      <w:bCs/>
      <w:sz w:val="32"/>
    </w:rPr>
  </w:style>
  <w:style w:type="paragraph" w:styleId="BodyText">
    <w:name w:val="Body Text"/>
    <w:basedOn w:val="Normal"/>
    <w:link w:val="BodyTextChar"/>
    <w:rsid w:val="00EC3B7F"/>
    <w:pPr>
      <w:jc w:val="both"/>
    </w:pPr>
  </w:style>
  <w:style w:type="character" w:customStyle="1" w:styleId="BodyTextChar">
    <w:name w:val="Body Text Char"/>
    <w:basedOn w:val="DefaultParagraphFont"/>
    <w:link w:val="BodyText"/>
    <w:rsid w:val="00EC3B7F"/>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EC3B7F"/>
    <w:rPr>
      <w:rFonts w:ascii="Tahoma" w:hAnsi="Tahoma" w:cs="Tahoma"/>
      <w:sz w:val="16"/>
      <w:szCs w:val="16"/>
    </w:rPr>
  </w:style>
  <w:style w:type="character" w:customStyle="1" w:styleId="BalloonTextChar">
    <w:name w:val="Balloon Text Char"/>
    <w:basedOn w:val="DefaultParagraphFont"/>
    <w:link w:val="BalloonText"/>
    <w:uiPriority w:val="99"/>
    <w:semiHidden/>
    <w:rsid w:val="00EC3B7F"/>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359</Words>
  <Characters>2050</Characters>
  <Application>Microsoft Office Word</Application>
  <DocSecurity>0</DocSecurity>
  <Lines>17</Lines>
  <Paragraphs>4</Paragraphs>
  <ScaleCrop>false</ScaleCrop>
  <Company>Grizli777</Company>
  <LinksUpToDate>false</LinksUpToDate>
  <CharactersWithSpaces>2405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hp5700</dc:creator>
  <cp:lastModifiedBy>hp5700</cp:lastModifiedBy>
  <cp:revision>2</cp:revision>
  <dcterms:created xsi:type="dcterms:W3CDTF">2017-08-03T13:33:00Z</dcterms:created>
  <dcterms:modified xsi:type="dcterms:W3CDTF">2017-08-03T13:33:00Z</dcterms:modified>
</cp:coreProperties>
</file>